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428"/>
        <w:gridCol w:w="5760"/>
      </w:tblGrid>
      <w:tr w:rsidR="00000000">
        <w:tc>
          <w:tcPr>
            <w:tcW w:w="4428" w:type="dxa"/>
          </w:tcPr>
          <w:p w:rsidR="00000000" w:rsidRDefault="009A38D2">
            <w:pPr>
              <w:rPr>
                <w:rFonts w:ascii="Garamond" w:hAnsi="Garamond"/>
                <w:b/>
                <w:i/>
                <w:sz w:val="28"/>
                <w:szCs w:val="28"/>
              </w:rPr>
            </w:pPr>
            <w:r>
              <w:rPr>
                <w:rFonts w:ascii="Garamond,Bold" w:hAnsi="Garamond,Bold"/>
                <w:noProof/>
                <w:sz w:val="32"/>
              </w:rPr>
              <w:drawing>
                <wp:inline distT="0" distB="0" distL="0" distR="0">
                  <wp:extent cx="1828800" cy="419100"/>
                  <wp:effectExtent l="19050" t="0" r="0" b="0"/>
                  <wp:docPr id="1" name="Picture 1" descr="hphcc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hccolo"/>
                          <pic:cNvPicPr>
                            <a:picLocks noChangeAspect="1" noChangeArrowheads="1"/>
                          </pic:cNvPicPr>
                        </pic:nvPicPr>
                        <pic:blipFill>
                          <a:blip r:embed="rId7"/>
                          <a:srcRect/>
                          <a:stretch>
                            <a:fillRect/>
                          </a:stretch>
                        </pic:blipFill>
                        <pic:spPr bwMode="auto">
                          <a:xfrm>
                            <a:off x="0" y="0"/>
                            <a:ext cx="1828800" cy="419100"/>
                          </a:xfrm>
                          <a:prstGeom prst="rect">
                            <a:avLst/>
                          </a:prstGeom>
                          <a:noFill/>
                          <a:ln w="9525">
                            <a:noFill/>
                            <a:miter lim="800000"/>
                            <a:headEnd/>
                            <a:tailEnd/>
                          </a:ln>
                        </pic:spPr>
                      </pic:pic>
                    </a:graphicData>
                  </a:graphic>
                </wp:inline>
              </w:drawing>
            </w:r>
            <w:r w:rsidR="00196C41">
              <w:rPr>
                <w:rFonts w:ascii="Garamond" w:hAnsi="Garamond"/>
                <w:b/>
                <w:i/>
                <w:sz w:val="28"/>
                <w:szCs w:val="28"/>
              </w:rPr>
              <w:tab/>
            </w:r>
          </w:p>
        </w:tc>
        <w:tc>
          <w:tcPr>
            <w:tcW w:w="5760" w:type="dxa"/>
          </w:tcPr>
          <w:p w:rsidR="00000000" w:rsidRDefault="00196C41">
            <w:pPr>
              <w:jc w:val="right"/>
              <w:rPr>
                <w:rFonts w:ascii="Garamond" w:hAnsi="Garamond"/>
                <w:b/>
                <w:i/>
                <w:sz w:val="32"/>
                <w:szCs w:val="32"/>
              </w:rPr>
            </w:pPr>
            <w:r>
              <w:rPr>
                <w:rFonts w:ascii="Garamond" w:hAnsi="Garamond"/>
                <w:b/>
                <w:i/>
                <w:sz w:val="32"/>
                <w:szCs w:val="32"/>
              </w:rPr>
              <w:t>Medical Review Criteria</w:t>
            </w:r>
          </w:p>
          <w:p w:rsidR="00000000" w:rsidRDefault="00196C41">
            <w:pPr>
              <w:jc w:val="right"/>
              <w:rPr>
                <w:rFonts w:ascii="Garamond" w:hAnsi="Garamond"/>
                <w:b/>
                <w:i/>
                <w:sz w:val="32"/>
                <w:szCs w:val="32"/>
              </w:rPr>
            </w:pPr>
            <w:r>
              <w:rPr>
                <w:rFonts w:ascii="Garamond" w:hAnsi="Garamond"/>
                <w:b/>
                <w:i/>
                <w:sz w:val="32"/>
                <w:szCs w:val="32"/>
              </w:rPr>
              <w:t>Sex Reassignment Surgery</w:t>
            </w:r>
          </w:p>
          <w:p w:rsidR="00000000" w:rsidRDefault="00196C41">
            <w:pPr>
              <w:pStyle w:val="BodyText"/>
              <w:ind w:left="720"/>
              <w:jc w:val="left"/>
              <w:rPr>
                <w:bCs w:val="0"/>
                <w:iCs w:val="0"/>
                <w:sz w:val="28"/>
                <w:szCs w:val="28"/>
              </w:rPr>
            </w:pPr>
          </w:p>
        </w:tc>
      </w:tr>
    </w:tbl>
    <w:p w:rsidR="00000000" w:rsidRDefault="00196C41">
      <w:pPr>
        <w:pStyle w:val="Caption"/>
      </w:pPr>
      <w:r>
        <w:t>Effective Date:  January, 2010</w:t>
      </w:r>
    </w:p>
    <w:p w:rsidR="00000000" w:rsidRDefault="00196C41">
      <w:pPr>
        <w:rPr>
          <w:rFonts w:ascii="Tahoma" w:hAnsi="Tahoma" w:cs="Tahoma"/>
          <w:b/>
        </w:rPr>
      </w:pPr>
    </w:p>
    <w:p w:rsidR="00000000" w:rsidRDefault="00196C41">
      <w:pPr>
        <w:rPr>
          <w:rFonts w:ascii="Tahoma" w:hAnsi="Tahoma" w:cs="Tahoma"/>
          <w:sz w:val="28"/>
          <w:szCs w:val="28"/>
        </w:rPr>
      </w:pPr>
      <w:r>
        <w:rPr>
          <w:rFonts w:ascii="Tahoma" w:hAnsi="Tahoma" w:cs="Tahoma"/>
          <w:b/>
        </w:rPr>
        <w:t>Subject:  Sex Reassignment Surgery for Harvard University Employees and Dependents</w:t>
      </w:r>
    </w:p>
    <w:p w:rsidR="00000000" w:rsidRDefault="00196C41">
      <w:pPr>
        <w:rPr>
          <w:rFonts w:ascii="Tahoma" w:hAnsi="Tahoma" w:cs="Tahoma"/>
          <w:b/>
        </w:rPr>
      </w:pPr>
    </w:p>
    <w:p w:rsidR="00000000" w:rsidRDefault="00196C41">
      <w:pPr>
        <w:ind w:left="1440" w:hanging="1440"/>
        <w:outlineLvl w:val="0"/>
        <w:rPr>
          <w:rFonts w:ascii="Tahoma" w:hAnsi="Tahoma" w:cs="Tahoma"/>
          <w:b/>
        </w:rPr>
      </w:pPr>
      <w:r>
        <w:rPr>
          <w:rFonts w:ascii="Tahoma" w:hAnsi="Tahoma" w:cs="Tahoma"/>
          <w:b/>
        </w:rPr>
        <w:t xml:space="preserve">Background:  </w:t>
      </w:r>
    </w:p>
    <w:p w:rsidR="00000000" w:rsidRDefault="00196C41">
      <w:pPr>
        <w:rPr>
          <w:rFonts w:ascii="Tahoma" w:hAnsi="Tahoma" w:cs="Tahoma"/>
          <w:szCs w:val="20"/>
        </w:rPr>
      </w:pPr>
      <w:r>
        <w:rPr>
          <w:rFonts w:ascii="Tahoma" w:hAnsi="Tahoma" w:cs="Tahoma"/>
          <w:szCs w:val="20"/>
        </w:rPr>
        <w:t>Individuals with the gender identity disorder (GID) of pure transsexuali</w:t>
      </w:r>
      <w:r>
        <w:rPr>
          <w:rFonts w:ascii="Tahoma" w:hAnsi="Tahoma" w:cs="Tahoma"/>
          <w:szCs w:val="20"/>
        </w:rPr>
        <w:t xml:space="preserve">sm have persistent feelings of gender discomfort and inappropriateness of their anatomical sex, strong and ongoing cross-gender identification, and a desire to live and be accepted as members of the opposite sex. Pure transsexualism is characterized by an </w:t>
      </w:r>
      <w:r>
        <w:rPr>
          <w:rFonts w:ascii="Tahoma" w:hAnsi="Tahoma" w:cs="Tahoma"/>
          <w:szCs w:val="20"/>
        </w:rPr>
        <w:t>individual’s:</w:t>
      </w:r>
    </w:p>
    <w:p w:rsidR="00000000" w:rsidRDefault="00196C41">
      <w:pPr>
        <w:numPr>
          <w:ilvl w:val="0"/>
          <w:numId w:val="15"/>
        </w:numPr>
        <w:rPr>
          <w:rFonts w:ascii="Tahoma" w:hAnsi="Tahoma" w:cs="Tahoma"/>
          <w:szCs w:val="20"/>
        </w:rPr>
      </w:pPr>
      <w:r>
        <w:rPr>
          <w:rFonts w:ascii="Tahoma" w:hAnsi="Tahoma" w:cs="Tahoma"/>
          <w:szCs w:val="20"/>
        </w:rPr>
        <w:t xml:space="preserve">Persistent feeling of discomfort regarding his/her biological sex or feelings of inadequacy in the gender role of that sex, permanent and profound identification with the opposite sex, and clinically relevant distress and/or impaired ability </w:t>
      </w:r>
      <w:r>
        <w:rPr>
          <w:rFonts w:ascii="Tahoma" w:hAnsi="Tahoma" w:cs="Tahoma"/>
          <w:szCs w:val="20"/>
        </w:rPr>
        <w:t>to function in social, work-related and other situations as a result of preoccupation with non-identification with the gender assigned at birth;</w:t>
      </w:r>
    </w:p>
    <w:p w:rsidR="00000000" w:rsidRDefault="00196C41">
      <w:pPr>
        <w:numPr>
          <w:ilvl w:val="0"/>
          <w:numId w:val="15"/>
        </w:numPr>
        <w:rPr>
          <w:rFonts w:ascii="Tahoma" w:hAnsi="Tahoma" w:cs="Tahoma"/>
          <w:szCs w:val="20"/>
        </w:rPr>
      </w:pPr>
      <w:r>
        <w:rPr>
          <w:rFonts w:ascii="Tahoma" w:hAnsi="Tahoma" w:cs="Tahoma"/>
          <w:szCs w:val="20"/>
        </w:rPr>
        <w:t>Desire to live and be accepted as a member of the opposite sex, usually accompanied by the wish to make his/her</w:t>
      </w:r>
      <w:r>
        <w:rPr>
          <w:rFonts w:ascii="Tahoma" w:hAnsi="Tahoma" w:cs="Tahoma"/>
          <w:szCs w:val="20"/>
        </w:rPr>
        <w:t xml:space="preserve"> body as congruent as possible (through surgery and hormone treatment) with the preferred sex;  </w:t>
      </w:r>
    </w:p>
    <w:p w:rsidR="00000000" w:rsidRDefault="00196C41">
      <w:pPr>
        <w:numPr>
          <w:ilvl w:val="0"/>
          <w:numId w:val="15"/>
        </w:numPr>
        <w:rPr>
          <w:rFonts w:ascii="Tahoma" w:hAnsi="Tahoma" w:cs="Tahoma"/>
          <w:szCs w:val="20"/>
        </w:rPr>
      </w:pPr>
      <w:r>
        <w:rPr>
          <w:rFonts w:ascii="Tahoma" w:hAnsi="Tahoma" w:cs="Tahoma"/>
          <w:szCs w:val="20"/>
        </w:rPr>
        <w:t>Transsexual identity that has been persistent and present for at least two years;</w:t>
      </w:r>
    </w:p>
    <w:p w:rsidR="00000000" w:rsidRDefault="00196C41">
      <w:pPr>
        <w:rPr>
          <w:rFonts w:ascii="Tahoma" w:hAnsi="Tahoma" w:cs="Tahoma"/>
          <w:szCs w:val="20"/>
        </w:rPr>
      </w:pPr>
    </w:p>
    <w:p w:rsidR="00000000" w:rsidRDefault="00196C41">
      <w:pPr>
        <w:rPr>
          <w:rFonts w:ascii="Tahoma" w:hAnsi="Tahoma" w:cs="Tahoma"/>
          <w:szCs w:val="20"/>
        </w:rPr>
      </w:pPr>
      <w:r>
        <w:rPr>
          <w:rFonts w:ascii="Tahoma" w:hAnsi="Tahoma" w:cs="Tahoma"/>
          <w:szCs w:val="20"/>
        </w:rPr>
        <w:t>Pure transsexualism is not a symptom of a chromosomal abnormality or another</w:t>
      </w:r>
      <w:r>
        <w:rPr>
          <w:rFonts w:ascii="Tahoma" w:hAnsi="Tahoma" w:cs="Tahoma"/>
          <w:szCs w:val="20"/>
        </w:rPr>
        <w:t xml:space="preserve"> mental disorder.</w:t>
      </w:r>
    </w:p>
    <w:p w:rsidR="00000000" w:rsidRDefault="00196C41">
      <w:pPr>
        <w:rPr>
          <w:rFonts w:ascii="Tahoma" w:hAnsi="Tahoma" w:cs="Tahoma"/>
          <w:szCs w:val="20"/>
        </w:rPr>
      </w:pPr>
    </w:p>
    <w:p w:rsidR="00000000" w:rsidRDefault="00196C41">
      <w:pPr>
        <w:rPr>
          <w:rFonts w:ascii="Tahoma" w:hAnsi="Tahoma" w:cs="Tahoma"/>
          <w:szCs w:val="20"/>
        </w:rPr>
      </w:pPr>
      <w:r>
        <w:rPr>
          <w:rFonts w:ascii="Tahoma" w:hAnsi="Tahoma" w:cs="Tahoma"/>
          <w:szCs w:val="20"/>
        </w:rPr>
        <w:t>Sex reassignment surgery (SRS) includes surgical procedures by which the physical appearance and function of a person’s existing sexual characteristics are changed to those of the other sex in an effort to resolve or minimize gender dysp</w:t>
      </w:r>
      <w:r>
        <w:rPr>
          <w:rFonts w:ascii="Tahoma" w:hAnsi="Tahoma" w:cs="Tahoma"/>
          <w:szCs w:val="20"/>
        </w:rPr>
        <w:t>horia, and improve quality of life.</w:t>
      </w:r>
    </w:p>
    <w:p w:rsidR="00000000" w:rsidRDefault="00196C41">
      <w:pPr>
        <w:numPr>
          <w:ilvl w:val="0"/>
          <w:numId w:val="16"/>
        </w:numPr>
        <w:rPr>
          <w:rFonts w:ascii="Tahoma" w:hAnsi="Tahoma" w:cs="Tahoma"/>
          <w:szCs w:val="20"/>
        </w:rPr>
      </w:pPr>
      <w:r>
        <w:rPr>
          <w:rFonts w:ascii="Tahoma" w:hAnsi="Tahoma" w:cs="Tahoma"/>
        </w:rPr>
        <w:t xml:space="preserve">SRS prescribed or recommended by qualified practitioners constitutes effective and appropriate treatment in persons diagnosed with </w:t>
      </w:r>
      <w:r>
        <w:rPr>
          <w:rFonts w:ascii="Tahoma" w:hAnsi="Tahoma" w:cs="Tahoma"/>
          <w:szCs w:val="20"/>
        </w:rPr>
        <w:t xml:space="preserve">pure transsexualism. </w:t>
      </w:r>
    </w:p>
    <w:p w:rsidR="00000000" w:rsidRDefault="00196C41">
      <w:pPr>
        <w:pStyle w:val="Header"/>
        <w:tabs>
          <w:tab w:val="clear" w:pos="4320"/>
          <w:tab w:val="clear" w:pos="8640"/>
        </w:tabs>
        <w:rPr>
          <w:rFonts w:ascii="Tahoma" w:hAnsi="Tahoma" w:cs="Tahoma"/>
          <w:szCs w:val="20"/>
        </w:rPr>
      </w:pPr>
    </w:p>
    <w:p w:rsidR="00000000" w:rsidRDefault="00196C41">
      <w:pPr>
        <w:rPr>
          <w:rFonts w:ascii="Tahoma" w:hAnsi="Tahoma" w:cs="Tahoma"/>
          <w:szCs w:val="20"/>
        </w:rPr>
      </w:pPr>
      <w:r>
        <w:rPr>
          <w:rFonts w:ascii="Tahoma" w:hAnsi="Tahoma" w:cs="Tahoma"/>
          <w:szCs w:val="20"/>
        </w:rPr>
        <w:t>Commonly, the path to SRS begins with a diagnosis of transsexualis</w:t>
      </w:r>
      <w:r>
        <w:rPr>
          <w:rFonts w:ascii="Tahoma" w:hAnsi="Tahoma" w:cs="Tahoma"/>
          <w:szCs w:val="20"/>
        </w:rPr>
        <w:t>m by a trained mental health professional (MHP) experienced in working with transgendered individuals.  The MHP is responsible for:</w:t>
      </w:r>
    </w:p>
    <w:p w:rsidR="00000000" w:rsidRDefault="00196C41">
      <w:pPr>
        <w:numPr>
          <w:ilvl w:val="0"/>
          <w:numId w:val="16"/>
        </w:numPr>
        <w:rPr>
          <w:rFonts w:ascii="Tahoma" w:hAnsi="Tahoma" w:cs="Tahoma"/>
          <w:szCs w:val="20"/>
        </w:rPr>
      </w:pPr>
      <w:r>
        <w:rPr>
          <w:rFonts w:ascii="Tahoma" w:hAnsi="Tahoma" w:cs="Tahoma"/>
          <w:szCs w:val="20"/>
        </w:rPr>
        <w:t>Accurately diagnosing and treating the individual's gender disorder and any co-morbid psychiatric conditions;</w:t>
      </w:r>
    </w:p>
    <w:p w:rsidR="00000000" w:rsidRDefault="00196C41">
      <w:pPr>
        <w:numPr>
          <w:ilvl w:val="0"/>
          <w:numId w:val="16"/>
        </w:numPr>
        <w:rPr>
          <w:rFonts w:ascii="Tahoma" w:hAnsi="Tahoma" w:cs="Tahoma"/>
          <w:szCs w:val="20"/>
        </w:rPr>
      </w:pPr>
      <w:r>
        <w:rPr>
          <w:rFonts w:ascii="Tahoma" w:hAnsi="Tahoma" w:cs="Tahoma"/>
          <w:szCs w:val="20"/>
        </w:rPr>
        <w:t>Counseling the</w:t>
      </w:r>
      <w:r>
        <w:rPr>
          <w:rFonts w:ascii="Tahoma" w:hAnsi="Tahoma" w:cs="Tahoma"/>
          <w:szCs w:val="20"/>
        </w:rPr>
        <w:t xml:space="preserve"> individual about the range of treatment options and their implications, and ascertaining eligibility and readiness for hormone and surgical therapy;</w:t>
      </w:r>
    </w:p>
    <w:p w:rsidR="00000000" w:rsidRDefault="00196C41">
      <w:pPr>
        <w:numPr>
          <w:ilvl w:val="0"/>
          <w:numId w:val="16"/>
        </w:numPr>
        <w:rPr>
          <w:rFonts w:ascii="Tahoma" w:hAnsi="Tahoma" w:cs="Tahoma"/>
          <w:szCs w:val="20"/>
        </w:rPr>
      </w:pPr>
      <w:r>
        <w:rPr>
          <w:rFonts w:ascii="Tahoma" w:hAnsi="Tahoma" w:cs="Tahoma"/>
          <w:szCs w:val="20"/>
        </w:rPr>
        <w:t>Documenting the patient's relevant history and making formal treatment recommendations to medical and surg</w:t>
      </w:r>
      <w:r>
        <w:rPr>
          <w:rFonts w:ascii="Tahoma" w:hAnsi="Tahoma" w:cs="Tahoma"/>
          <w:szCs w:val="20"/>
        </w:rPr>
        <w:t>ical colleagues; and</w:t>
      </w:r>
    </w:p>
    <w:p w:rsidR="00000000" w:rsidRDefault="00196C41">
      <w:pPr>
        <w:numPr>
          <w:ilvl w:val="0"/>
          <w:numId w:val="16"/>
        </w:numPr>
        <w:rPr>
          <w:rFonts w:ascii="Tahoma" w:hAnsi="Tahoma" w:cs="Tahoma"/>
          <w:szCs w:val="20"/>
        </w:rPr>
      </w:pPr>
      <w:r>
        <w:rPr>
          <w:rFonts w:ascii="Tahoma" w:hAnsi="Tahoma" w:cs="Tahoma"/>
          <w:szCs w:val="20"/>
        </w:rPr>
        <w:t>Educating family members, employers, and institutions about gender identity disorders;</w:t>
      </w:r>
    </w:p>
    <w:p w:rsidR="00000000" w:rsidRDefault="00196C41">
      <w:pPr>
        <w:rPr>
          <w:rFonts w:ascii="Tahoma" w:hAnsi="Tahoma" w:cs="Tahoma"/>
          <w:szCs w:val="20"/>
        </w:rPr>
      </w:pPr>
    </w:p>
    <w:p w:rsidR="00000000" w:rsidRDefault="00196C41">
      <w:pPr>
        <w:rPr>
          <w:rFonts w:ascii="Tahoma" w:hAnsi="Tahoma" w:cs="Tahoma"/>
          <w:szCs w:val="20"/>
        </w:rPr>
      </w:pPr>
      <w:r>
        <w:rPr>
          <w:rFonts w:ascii="Tahoma" w:hAnsi="Tahoma" w:cs="Tahoma"/>
          <w:szCs w:val="20"/>
        </w:rPr>
        <w:lastRenderedPageBreak/>
        <w:t>Breast appearance is an important secondary sex characteristic. The performance of breast operations should be considered with the same reservation</w:t>
      </w:r>
      <w:r>
        <w:rPr>
          <w:rFonts w:ascii="Tahoma" w:hAnsi="Tahoma" w:cs="Tahoma"/>
          <w:szCs w:val="20"/>
        </w:rPr>
        <w:t>s as beginning hormonal therapy as both produce relatively irreversible changes to the body.</w:t>
      </w:r>
    </w:p>
    <w:p w:rsidR="00000000" w:rsidRDefault="00196C41">
      <w:pPr>
        <w:numPr>
          <w:ilvl w:val="0"/>
          <w:numId w:val="19"/>
        </w:numPr>
        <w:rPr>
          <w:rFonts w:ascii="Tahoma" w:hAnsi="Tahoma" w:cs="Tahoma"/>
          <w:szCs w:val="20"/>
        </w:rPr>
      </w:pPr>
      <w:r>
        <w:rPr>
          <w:rFonts w:ascii="Tahoma" w:hAnsi="Tahoma" w:cs="Tahoma"/>
          <w:szCs w:val="20"/>
        </w:rPr>
        <w:t>For Female To Male (FTM) patients, a mastectomy procedure is usually the first, and sometimes the only, SRS performed for success in gender presentation as a man.</w:t>
      </w:r>
    </w:p>
    <w:p w:rsidR="00000000" w:rsidRDefault="00196C41">
      <w:pPr>
        <w:numPr>
          <w:ilvl w:val="0"/>
          <w:numId w:val="19"/>
        </w:numPr>
        <w:rPr>
          <w:rFonts w:ascii="Tahoma" w:hAnsi="Tahoma" w:cs="Tahoma"/>
          <w:szCs w:val="20"/>
        </w:rPr>
      </w:pPr>
      <w:r>
        <w:rPr>
          <w:rFonts w:ascii="Tahoma" w:hAnsi="Tahoma" w:cs="Tahoma"/>
          <w:szCs w:val="20"/>
        </w:rPr>
        <w:t>For Male To Female (MTF) patients, augmentation mammoplasty may be performed if the physician prescribing hormones and the surgeon have documented that breast enlargement after undergoing hormone treatment for 18 months is not sufficient for comfort in the</w:t>
      </w:r>
      <w:r>
        <w:rPr>
          <w:rFonts w:ascii="Tahoma" w:hAnsi="Tahoma" w:cs="Tahoma"/>
          <w:szCs w:val="20"/>
        </w:rPr>
        <w:t xml:space="preserve"> social gender role.</w:t>
      </w:r>
      <w:r>
        <w:rPr>
          <w:rFonts w:ascii="Tahoma" w:hAnsi="Tahoma" w:cs="Tahoma"/>
          <w:sz w:val="18"/>
          <w:szCs w:val="18"/>
        </w:rPr>
        <w:t>*</w:t>
      </w:r>
    </w:p>
    <w:p w:rsidR="00000000" w:rsidRDefault="00196C41">
      <w:pPr>
        <w:rPr>
          <w:rFonts w:ascii="Tahoma" w:hAnsi="Tahoma" w:cs="Tahoma"/>
          <w:sz w:val="18"/>
          <w:szCs w:val="18"/>
        </w:rPr>
      </w:pPr>
      <w:r>
        <w:rPr>
          <w:rFonts w:ascii="Tahoma" w:hAnsi="Tahoma" w:cs="Tahoma"/>
          <w:sz w:val="18"/>
          <w:szCs w:val="18"/>
        </w:rPr>
        <w:t>* Prescription drug benefit administered by Medco.</w:t>
      </w:r>
    </w:p>
    <w:p w:rsidR="00000000" w:rsidRDefault="00196C41">
      <w:pPr>
        <w:rPr>
          <w:rFonts w:ascii="Tahoma" w:hAnsi="Tahoma" w:cs="Tahoma"/>
          <w:sz w:val="28"/>
          <w:szCs w:val="28"/>
        </w:rPr>
      </w:pPr>
    </w:p>
    <w:p w:rsidR="00000000" w:rsidRDefault="00196C41">
      <w:pPr>
        <w:outlineLvl w:val="0"/>
        <w:rPr>
          <w:rFonts w:ascii="Tahoma" w:hAnsi="Tahoma" w:cs="Tahoma"/>
          <w:b/>
        </w:rPr>
      </w:pPr>
      <w:r>
        <w:rPr>
          <w:rFonts w:ascii="Tahoma" w:hAnsi="Tahoma" w:cs="Tahoma"/>
          <w:b/>
        </w:rPr>
        <w:t>Policy:</w:t>
      </w:r>
    </w:p>
    <w:p w:rsidR="00000000" w:rsidRDefault="00196C41">
      <w:pPr>
        <w:rPr>
          <w:rFonts w:ascii="Tahoma" w:hAnsi="Tahoma" w:cs="Tahoma"/>
          <w:szCs w:val="20"/>
        </w:rPr>
      </w:pPr>
      <w:r>
        <w:rPr>
          <w:rFonts w:ascii="Tahoma" w:hAnsi="Tahoma" w:cs="Tahoma"/>
          <w:bCs/>
        </w:rPr>
        <w:t xml:space="preserve">When the individual member’s benefit plan design includes coverage for medically necessary SRS, HPHC covers SRS (breast surgeries only) </w:t>
      </w:r>
      <w:r>
        <w:rPr>
          <w:rFonts w:ascii="Tahoma" w:hAnsi="Tahoma" w:cs="Tahoma"/>
        </w:rPr>
        <w:t>prescribed or recommended by qualified</w:t>
      </w:r>
      <w:r>
        <w:rPr>
          <w:rFonts w:ascii="Tahoma" w:hAnsi="Tahoma" w:cs="Tahoma"/>
        </w:rPr>
        <w:t xml:space="preserve"> practitioners for individuals diagnosed with </w:t>
      </w:r>
      <w:r>
        <w:rPr>
          <w:rFonts w:ascii="Tahoma" w:hAnsi="Tahoma" w:cs="Tahoma"/>
          <w:szCs w:val="20"/>
        </w:rPr>
        <w:t>pure transsexualism.</w:t>
      </w:r>
    </w:p>
    <w:p w:rsidR="00000000" w:rsidRDefault="00196C41">
      <w:pPr>
        <w:rPr>
          <w:rFonts w:ascii="Tahoma" w:hAnsi="Tahoma" w:cs="Tahoma"/>
          <w:szCs w:val="20"/>
        </w:rPr>
      </w:pPr>
    </w:p>
    <w:p w:rsidR="00000000" w:rsidRDefault="00196C41">
      <w:pPr>
        <w:rPr>
          <w:rFonts w:ascii="Tahoma" w:hAnsi="Tahoma" w:cs="Tahoma"/>
        </w:rPr>
      </w:pPr>
      <w:r>
        <w:rPr>
          <w:rFonts w:ascii="Tahoma" w:hAnsi="Tahoma" w:cs="Tahoma"/>
        </w:rPr>
        <w:t>Harvard Pilgrim Health Care, with the help of United Behavioral Health (UBH), identified two behavioral health groups as Centers of Excellence experienced in working with the transgendered</w:t>
      </w:r>
      <w:r>
        <w:rPr>
          <w:rFonts w:ascii="Tahoma" w:hAnsi="Tahoma" w:cs="Tahoma"/>
        </w:rPr>
        <w:t xml:space="preserve"> community:</w:t>
      </w:r>
    </w:p>
    <w:p w:rsidR="00000000" w:rsidRDefault="00196C41">
      <w:pPr>
        <w:rPr>
          <w:rFonts w:ascii="Tahoma" w:hAnsi="Tahoma" w:cs="Tahoma"/>
        </w:rPr>
      </w:pPr>
    </w:p>
    <w:p w:rsidR="00000000" w:rsidRDefault="00196C41">
      <w:pPr>
        <w:outlineLvl w:val="0"/>
        <w:rPr>
          <w:rFonts w:ascii="Tahoma" w:hAnsi="Tahoma" w:cs="Tahoma"/>
        </w:rPr>
      </w:pPr>
      <w:r>
        <w:rPr>
          <w:rFonts w:ascii="Tahoma" w:hAnsi="Tahoma" w:cs="Tahoma"/>
        </w:rPr>
        <w:t>Rasi Associates</w:t>
      </w:r>
    </w:p>
    <w:p w:rsidR="00000000" w:rsidRDefault="00196C41">
      <w:pPr>
        <w:rPr>
          <w:rFonts w:ascii="Tahoma" w:hAnsi="Tahoma" w:cs="Tahoma"/>
        </w:rPr>
      </w:pPr>
      <w:r>
        <w:rPr>
          <w:rFonts w:ascii="Tahoma" w:hAnsi="Tahoma" w:cs="Tahoma"/>
        </w:rPr>
        <w:t>607 Boylston St.</w:t>
      </w:r>
    </w:p>
    <w:p w:rsidR="00000000" w:rsidRDefault="00196C41">
      <w:pPr>
        <w:rPr>
          <w:rFonts w:ascii="Tahoma" w:hAnsi="Tahoma" w:cs="Tahoma"/>
        </w:rPr>
      </w:pPr>
      <w:r>
        <w:rPr>
          <w:rFonts w:ascii="Tahoma" w:hAnsi="Tahoma" w:cs="Tahoma"/>
        </w:rPr>
        <w:t>2</w:t>
      </w:r>
      <w:r>
        <w:rPr>
          <w:rFonts w:ascii="Tahoma" w:hAnsi="Tahoma" w:cs="Tahoma"/>
          <w:vertAlign w:val="superscript"/>
        </w:rPr>
        <w:t>nd</w:t>
      </w:r>
      <w:r>
        <w:rPr>
          <w:rFonts w:ascii="Tahoma" w:hAnsi="Tahoma" w:cs="Tahoma"/>
        </w:rPr>
        <w:t xml:space="preserve"> Floor</w:t>
      </w:r>
    </w:p>
    <w:p w:rsidR="00000000" w:rsidRDefault="00196C41">
      <w:pPr>
        <w:rPr>
          <w:rFonts w:ascii="Tahoma" w:hAnsi="Tahoma" w:cs="Tahoma"/>
        </w:rPr>
      </w:pPr>
      <w:r>
        <w:rPr>
          <w:rFonts w:ascii="Tahoma" w:hAnsi="Tahoma" w:cs="Tahoma"/>
        </w:rPr>
        <w:t>Boston, MA  02116</w:t>
      </w:r>
    </w:p>
    <w:p w:rsidR="00000000" w:rsidRDefault="00196C41">
      <w:pPr>
        <w:rPr>
          <w:rFonts w:ascii="Tahoma" w:hAnsi="Tahoma" w:cs="Tahoma"/>
        </w:rPr>
      </w:pPr>
      <w:r>
        <w:rPr>
          <w:rFonts w:ascii="Tahoma" w:hAnsi="Tahoma" w:cs="Tahoma"/>
        </w:rPr>
        <w:t>617-266-2266</w:t>
      </w:r>
    </w:p>
    <w:p w:rsidR="00000000" w:rsidRDefault="00196C41">
      <w:pPr>
        <w:rPr>
          <w:rFonts w:ascii="Tahoma" w:hAnsi="Tahoma" w:cs="Tahoma"/>
        </w:rPr>
      </w:pPr>
      <w:r>
        <w:rPr>
          <w:rFonts w:ascii="Tahoma" w:hAnsi="Tahoma" w:cs="Tahoma"/>
        </w:rPr>
        <w:t>http://www.rasiassociates.com/</w:t>
      </w:r>
    </w:p>
    <w:p w:rsidR="00000000" w:rsidRDefault="00196C41">
      <w:pPr>
        <w:rPr>
          <w:rFonts w:ascii="Tahoma" w:hAnsi="Tahoma" w:cs="Tahoma"/>
        </w:rPr>
      </w:pPr>
    </w:p>
    <w:p w:rsidR="00000000" w:rsidRDefault="00196C41">
      <w:pPr>
        <w:rPr>
          <w:rFonts w:ascii="Tahoma" w:hAnsi="Tahoma" w:cs="Tahoma"/>
        </w:rPr>
      </w:pPr>
      <w:r>
        <w:rPr>
          <w:rFonts w:ascii="Tahoma" w:hAnsi="Tahoma" w:cs="Tahoma"/>
        </w:rPr>
        <w:t>Primary contact at Rasi Associates: Dr. Lourdes Rodríguez-Nogués, Ed.D, x126</w:t>
      </w:r>
    </w:p>
    <w:p w:rsidR="00000000" w:rsidRDefault="00196C41">
      <w:pPr>
        <w:rPr>
          <w:rFonts w:ascii="Tahoma" w:hAnsi="Tahoma" w:cs="Tahoma"/>
        </w:rPr>
      </w:pPr>
      <w:r>
        <w:rPr>
          <w:rFonts w:ascii="Tahoma" w:hAnsi="Tahoma" w:cs="Tahoma"/>
        </w:rPr>
        <w:t>Other Rasi contacts: Leslie Berman, LICSW, x155; Brett P. Te</w:t>
      </w:r>
      <w:r>
        <w:rPr>
          <w:rFonts w:ascii="Tahoma" w:hAnsi="Tahoma" w:cs="Tahoma"/>
        </w:rPr>
        <w:t>rrien, LMHC, x153</w:t>
      </w:r>
    </w:p>
    <w:p w:rsidR="00000000" w:rsidRDefault="00196C41">
      <w:pPr>
        <w:rPr>
          <w:rFonts w:ascii="Tahoma" w:hAnsi="Tahoma" w:cs="Tahoma"/>
        </w:rPr>
      </w:pPr>
    </w:p>
    <w:p w:rsidR="00000000" w:rsidRDefault="00196C41">
      <w:pPr>
        <w:rPr>
          <w:rFonts w:ascii="Tahoma" w:hAnsi="Tahoma" w:cs="Tahoma"/>
        </w:rPr>
      </w:pPr>
      <w:r>
        <w:rPr>
          <w:rFonts w:ascii="Tahoma" w:hAnsi="Tahoma" w:cs="Tahoma"/>
        </w:rPr>
        <w:t>Fenway Health</w:t>
      </w:r>
    </w:p>
    <w:p w:rsidR="00000000" w:rsidRDefault="00196C41">
      <w:pPr>
        <w:rPr>
          <w:rFonts w:ascii="Tahoma" w:hAnsi="Tahoma" w:cs="Tahoma"/>
        </w:rPr>
      </w:pPr>
      <w:r>
        <w:rPr>
          <w:rFonts w:ascii="Tahoma" w:hAnsi="Tahoma" w:cs="Tahoma"/>
        </w:rPr>
        <w:t>1340 Boylston Street</w:t>
      </w:r>
    </w:p>
    <w:p w:rsidR="00000000" w:rsidRDefault="00196C41">
      <w:pPr>
        <w:rPr>
          <w:rFonts w:ascii="Tahoma" w:hAnsi="Tahoma" w:cs="Tahoma"/>
        </w:rPr>
      </w:pPr>
      <w:r>
        <w:rPr>
          <w:rFonts w:ascii="Tahoma" w:hAnsi="Tahoma" w:cs="Tahoma"/>
        </w:rPr>
        <w:t>Boston, MA 02215</w:t>
      </w:r>
    </w:p>
    <w:p w:rsidR="00000000" w:rsidRDefault="00196C41">
      <w:pPr>
        <w:rPr>
          <w:rFonts w:ascii="Tahoma" w:hAnsi="Tahoma" w:cs="Tahoma"/>
        </w:rPr>
      </w:pPr>
      <w:r>
        <w:rPr>
          <w:rFonts w:ascii="Tahoma" w:hAnsi="Tahoma" w:cs="Tahoma"/>
        </w:rPr>
        <w:t>888-242-0900</w:t>
      </w:r>
    </w:p>
    <w:p w:rsidR="00000000" w:rsidRDefault="00196C41">
      <w:pPr>
        <w:rPr>
          <w:rFonts w:ascii="Tahoma" w:hAnsi="Tahoma" w:cs="Tahoma"/>
        </w:rPr>
      </w:pPr>
      <w:r>
        <w:rPr>
          <w:rFonts w:ascii="Tahoma" w:hAnsi="Tahoma" w:cs="Tahoma"/>
        </w:rPr>
        <w:t>www.fenwayh</w:t>
      </w:r>
      <w:r>
        <w:rPr>
          <w:rFonts w:ascii="Tahoma" w:hAnsi="Tahoma" w:cs="Tahoma"/>
        </w:rPr>
        <w:t>e</w:t>
      </w:r>
      <w:r>
        <w:rPr>
          <w:rFonts w:ascii="Tahoma" w:hAnsi="Tahoma" w:cs="Tahoma"/>
        </w:rPr>
        <w:t>alth.org</w:t>
      </w:r>
    </w:p>
    <w:p w:rsidR="00000000" w:rsidRDefault="00196C41">
      <w:pPr>
        <w:rPr>
          <w:rFonts w:ascii="Tahoma" w:hAnsi="Tahoma" w:cs="Tahoma"/>
        </w:rPr>
      </w:pPr>
    </w:p>
    <w:p w:rsidR="00000000" w:rsidRDefault="00196C41">
      <w:pPr>
        <w:rPr>
          <w:rFonts w:ascii="Tahoma" w:hAnsi="Tahoma" w:cs="Tahoma"/>
        </w:rPr>
      </w:pPr>
      <w:r>
        <w:rPr>
          <w:rFonts w:ascii="Tahoma" w:hAnsi="Tahoma" w:cs="Tahoma"/>
        </w:rPr>
        <w:t>Primary contact at Fenway:  Ruben Hopwood, M. Div., 617-927-6225 (voicemail)</w:t>
      </w:r>
    </w:p>
    <w:p w:rsidR="00000000" w:rsidRDefault="00196C41">
      <w:pPr>
        <w:rPr>
          <w:rFonts w:ascii="Tahoma" w:hAnsi="Tahoma" w:cs="Tahoma"/>
        </w:rPr>
      </w:pPr>
      <w:r>
        <w:rPr>
          <w:rFonts w:ascii="Tahoma" w:hAnsi="Tahoma" w:cs="Tahoma"/>
        </w:rPr>
        <w:t>Additional Fenway contacts: Dr. Kevin Kapila, MD, Behavioral Health Medic</w:t>
      </w:r>
      <w:r>
        <w:rPr>
          <w:rFonts w:ascii="Tahoma" w:hAnsi="Tahoma" w:cs="Tahoma"/>
        </w:rPr>
        <w:t>al Director</w:t>
      </w:r>
    </w:p>
    <w:p w:rsidR="00000000" w:rsidRDefault="00196C41">
      <w:pPr>
        <w:rPr>
          <w:rFonts w:ascii="Tahoma" w:hAnsi="Tahoma" w:cs="Tahoma"/>
          <w:b/>
        </w:rPr>
      </w:pPr>
    </w:p>
    <w:p w:rsidR="00000000" w:rsidRDefault="00196C41">
      <w:pPr>
        <w:rPr>
          <w:rFonts w:ascii="Tahoma" w:hAnsi="Tahoma" w:cs="Tahoma"/>
        </w:rPr>
      </w:pPr>
      <w:r>
        <w:rPr>
          <w:rFonts w:ascii="Tahoma" w:hAnsi="Tahoma" w:cs="Tahoma"/>
        </w:rPr>
        <w:t>Members with questions about the SRS benefit can contact HPHC’s Clinical Concerns Department at 1-888-888-4742, ext. 38723.</w:t>
      </w:r>
    </w:p>
    <w:p w:rsidR="00000000" w:rsidRDefault="00196C41">
      <w:pPr>
        <w:rPr>
          <w:rFonts w:ascii="Tahoma" w:hAnsi="Tahoma" w:cs="Tahoma"/>
          <w:b/>
        </w:rPr>
      </w:pPr>
    </w:p>
    <w:p w:rsidR="00000000" w:rsidRDefault="00196C41">
      <w:pPr>
        <w:outlineLvl w:val="0"/>
        <w:rPr>
          <w:rFonts w:ascii="Tahoma" w:hAnsi="Tahoma" w:cs="Tahoma"/>
          <w:b/>
        </w:rPr>
      </w:pPr>
      <w:r>
        <w:rPr>
          <w:rFonts w:ascii="Tahoma" w:hAnsi="Tahoma" w:cs="Tahoma"/>
          <w:b/>
        </w:rPr>
        <w:t>Authorization:</w:t>
      </w:r>
    </w:p>
    <w:p w:rsidR="00000000" w:rsidRDefault="00196C41">
      <w:pPr>
        <w:outlineLvl w:val="0"/>
        <w:rPr>
          <w:rFonts w:ascii="Tahoma" w:hAnsi="Tahoma" w:cs="Tahoma"/>
          <w:bCs/>
        </w:rPr>
      </w:pPr>
      <w:r>
        <w:rPr>
          <w:rFonts w:ascii="Tahoma" w:hAnsi="Tahoma" w:cs="Tahoma"/>
          <w:bCs/>
        </w:rPr>
        <w:t>Prior authorization is required for SRS.</w:t>
      </w:r>
    </w:p>
    <w:p w:rsidR="00000000" w:rsidRDefault="00196C41">
      <w:pPr>
        <w:rPr>
          <w:rFonts w:ascii="Tahoma" w:hAnsi="Tahoma" w:cs="Tahoma"/>
          <w:b/>
        </w:rPr>
      </w:pPr>
    </w:p>
    <w:p w:rsidR="00000000" w:rsidRDefault="00196C41">
      <w:pPr>
        <w:outlineLvl w:val="0"/>
        <w:rPr>
          <w:rFonts w:ascii="Tahoma" w:hAnsi="Tahoma" w:cs="Tahoma"/>
          <w:b/>
        </w:rPr>
      </w:pPr>
      <w:r>
        <w:rPr>
          <w:rFonts w:ascii="Tahoma" w:hAnsi="Tahoma" w:cs="Tahoma"/>
          <w:b/>
        </w:rPr>
        <w:t>Criteria:</w:t>
      </w:r>
    </w:p>
    <w:p w:rsidR="00000000" w:rsidRDefault="00196C41">
      <w:pPr>
        <w:rPr>
          <w:rFonts w:ascii="Tahoma" w:hAnsi="Tahoma" w:cs="Tahoma"/>
          <w:szCs w:val="20"/>
        </w:rPr>
      </w:pPr>
      <w:r>
        <w:rPr>
          <w:rFonts w:ascii="Tahoma" w:hAnsi="Tahoma" w:cs="Tahoma"/>
          <w:szCs w:val="20"/>
        </w:rPr>
        <w:t>Initial mastectomy or breast augmentation mammoplas</w:t>
      </w:r>
      <w:r>
        <w:rPr>
          <w:rFonts w:ascii="Tahoma" w:hAnsi="Tahoma" w:cs="Tahoma"/>
          <w:szCs w:val="20"/>
        </w:rPr>
        <w:t xml:space="preserve">ty (as appropriate) for </w:t>
      </w:r>
      <w:r>
        <w:rPr>
          <w:rFonts w:ascii="Tahoma" w:hAnsi="Tahoma" w:cs="Tahoma"/>
          <w:bCs/>
          <w:szCs w:val="20"/>
        </w:rPr>
        <w:t>the purpose of gender reassignment</w:t>
      </w:r>
      <w:r>
        <w:rPr>
          <w:rFonts w:ascii="Tahoma" w:hAnsi="Tahoma" w:cs="Tahoma"/>
          <w:szCs w:val="20"/>
        </w:rPr>
        <w:t xml:space="preserve"> is authorized when there is clinical documentation that the member is at least 18 years old and meets all the following:</w:t>
      </w:r>
    </w:p>
    <w:p w:rsidR="00000000" w:rsidRDefault="00196C41">
      <w:pPr>
        <w:numPr>
          <w:ilvl w:val="0"/>
          <w:numId w:val="19"/>
        </w:numPr>
        <w:rPr>
          <w:rFonts w:ascii="Tahoma" w:hAnsi="Tahoma" w:cs="Tahoma"/>
          <w:szCs w:val="20"/>
        </w:rPr>
      </w:pPr>
      <w:r>
        <w:rPr>
          <w:rFonts w:ascii="Tahoma" w:hAnsi="Tahoma" w:cs="Tahoma"/>
          <w:szCs w:val="20"/>
        </w:rPr>
        <w:t>Has been diagnosed (by a trained MHP) with true transsexualism and desires t</w:t>
      </w:r>
      <w:r>
        <w:rPr>
          <w:rFonts w:ascii="Tahoma" w:hAnsi="Tahoma" w:cs="Tahoma"/>
          <w:szCs w:val="20"/>
        </w:rPr>
        <w:t xml:space="preserve">o make his/her body as congruent as possible with the preferred sex through surgery and hormone replacement. </w:t>
      </w:r>
    </w:p>
    <w:p w:rsidR="00000000" w:rsidRDefault="00196C41">
      <w:pPr>
        <w:numPr>
          <w:ilvl w:val="0"/>
          <w:numId w:val="19"/>
        </w:numPr>
        <w:rPr>
          <w:rFonts w:ascii="Tahoma" w:hAnsi="Tahoma" w:cs="Tahoma"/>
          <w:szCs w:val="20"/>
        </w:rPr>
      </w:pPr>
      <w:r>
        <w:rPr>
          <w:rFonts w:ascii="Tahoma" w:hAnsi="Tahoma" w:cs="Tahoma"/>
          <w:szCs w:val="20"/>
        </w:rPr>
        <w:t>SRS is recommended by both the physician responsible for endocrine transition therapy and the MHP, and the physician responsible for endocrine tre</w:t>
      </w:r>
      <w:r>
        <w:rPr>
          <w:rFonts w:ascii="Tahoma" w:hAnsi="Tahoma" w:cs="Tahoma"/>
          <w:szCs w:val="20"/>
        </w:rPr>
        <w:t xml:space="preserve">atment has medically cleared the individual for SRS. </w:t>
      </w:r>
    </w:p>
    <w:p w:rsidR="00000000" w:rsidRDefault="00196C41">
      <w:pPr>
        <w:pStyle w:val="Header"/>
        <w:tabs>
          <w:tab w:val="clear" w:pos="4320"/>
          <w:tab w:val="clear" w:pos="8640"/>
        </w:tabs>
        <w:rPr>
          <w:rFonts w:ascii="Tahoma" w:hAnsi="Tahoma" w:cs="Tahoma"/>
          <w:bCs/>
        </w:rPr>
      </w:pPr>
      <w:r>
        <w:rPr>
          <w:rFonts w:ascii="Tahoma" w:hAnsi="Tahoma" w:cs="Tahoma"/>
          <w:bCs/>
        </w:rPr>
        <w:t xml:space="preserve">Clinical documentation must also include an evaluation from one of the Centers of Excellence identified by HPHC for transgender services. </w:t>
      </w:r>
    </w:p>
    <w:p w:rsidR="00000000" w:rsidRDefault="00196C41">
      <w:pPr>
        <w:pStyle w:val="Header"/>
        <w:tabs>
          <w:tab w:val="clear" w:pos="4320"/>
          <w:tab w:val="clear" w:pos="8640"/>
        </w:tabs>
        <w:rPr>
          <w:rFonts w:ascii="Tahoma" w:hAnsi="Tahoma" w:cs="Tahoma"/>
          <w:bCs/>
        </w:rPr>
      </w:pPr>
    </w:p>
    <w:p w:rsidR="00000000" w:rsidRDefault="00196C41">
      <w:pPr>
        <w:outlineLvl w:val="0"/>
        <w:rPr>
          <w:rFonts w:ascii="Tahoma" w:hAnsi="Tahoma" w:cs="Tahoma"/>
          <w:szCs w:val="28"/>
        </w:rPr>
      </w:pPr>
      <w:r>
        <w:rPr>
          <w:rFonts w:ascii="Tahoma" w:hAnsi="Tahoma" w:cs="Tahoma"/>
          <w:b/>
        </w:rPr>
        <w:t>Exclusions:</w:t>
      </w:r>
      <w:r>
        <w:rPr>
          <w:rFonts w:ascii="Tahoma" w:hAnsi="Tahoma" w:cs="Tahoma"/>
          <w:szCs w:val="28"/>
        </w:rPr>
        <w:t xml:space="preserve">  </w:t>
      </w:r>
    </w:p>
    <w:p w:rsidR="00000000" w:rsidRDefault="00196C41">
      <w:pPr>
        <w:rPr>
          <w:rFonts w:ascii="Tahoma" w:hAnsi="Tahoma" w:cs="Tahoma"/>
          <w:bCs/>
          <w:szCs w:val="20"/>
        </w:rPr>
      </w:pPr>
      <w:r>
        <w:rPr>
          <w:rFonts w:ascii="Tahoma" w:hAnsi="Tahoma" w:cs="Tahoma"/>
          <w:bCs/>
          <w:szCs w:val="20"/>
        </w:rPr>
        <w:t>HPHC excludes the following procedures performed</w:t>
      </w:r>
      <w:r>
        <w:rPr>
          <w:rFonts w:ascii="Tahoma" w:hAnsi="Tahoma" w:cs="Tahoma"/>
          <w:bCs/>
          <w:szCs w:val="20"/>
        </w:rPr>
        <w:t xml:space="preserve"> for the purpose of gender reassignment: </w:t>
      </w:r>
    </w:p>
    <w:p w:rsidR="00000000" w:rsidRDefault="00196C41">
      <w:pPr>
        <w:numPr>
          <w:ilvl w:val="0"/>
          <w:numId w:val="26"/>
        </w:numPr>
        <w:rPr>
          <w:rFonts w:ascii="Tahoma" w:hAnsi="Tahoma" w:cs="Tahoma"/>
          <w:szCs w:val="20"/>
        </w:rPr>
      </w:pPr>
      <w:r>
        <w:rPr>
          <w:rFonts w:ascii="Tahoma" w:hAnsi="Tahoma" w:cs="Tahoma"/>
          <w:szCs w:val="20"/>
        </w:rPr>
        <w:t xml:space="preserve"> Hysterectomy</w:t>
      </w:r>
    </w:p>
    <w:p w:rsidR="00000000" w:rsidRDefault="00196C41">
      <w:pPr>
        <w:numPr>
          <w:ilvl w:val="0"/>
          <w:numId w:val="26"/>
        </w:numPr>
        <w:rPr>
          <w:rFonts w:ascii="Tahoma" w:hAnsi="Tahoma" w:cs="Tahoma"/>
          <w:szCs w:val="20"/>
        </w:rPr>
      </w:pPr>
      <w:r>
        <w:rPr>
          <w:rFonts w:ascii="Tahoma" w:hAnsi="Tahoma" w:cs="Tahoma"/>
          <w:szCs w:val="20"/>
        </w:rPr>
        <w:t>Salpingo-oophrectomy</w:t>
      </w:r>
    </w:p>
    <w:p w:rsidR="00000000" w:rsidRDefault="00196C41">
      <w:pPr>
        <w:numPr>
          <w:ilvl w:val="0"/>
          <w:numId w:val="26"/>
        </w:numPr>
        <w:rPr>
          <w:rFonts w:ascii="Tahoma" w:hAnsi="Tahoma" w:cs="Tahoma"/>
          <w:szCs w:val="20"/>
        </w:rPr>
      </w:pPr>
      <w:r>
        <w:rPr>
          <w:rFonts w:ascii="Tahoma" w:hAnsi="Tahoma" w:cs="Tahoma"/>
          <w:szCs w:val="20"/>
        </w:rPr>
        <w:t>Colpectomy</w:t>
      </w:r>
    </w:p>
    <w:p w:rsidR="00000000" w:rsidRDefault="00196C41">
      <w:pPr>
        <w:numPr>
          <w:ilvl w:val="0"/>
          <w:numId w:val="26"/>
        </w:numPr>
        <w:rPr>
          <w:rFonts w:ascii="Tahoma" w:hAnsi="Tahoma" w:cs="Tahoma"/>
          <w:szCs w:val="20"/>
        </w:rPr>
      </w:pPr>
      <w:r>
        <w:rPr>
          <w:rFonts w:ascii="Tahoma" w:hAnsi="Tahoma" w:cs="Tahoma"/>
          <w:szCs w:val="20"/>
        </w:rPr>
        <w:t>Metoidoplasty</w:t>
      </w:r>
    </w:p>
    <w:p w:rsidR="00000000" w:rsidRDefault="00196C41">
      <w:pPr>
        <w:numPr>
          <w:ilvl w:val="0"/>
          <w:numId w:val="26"/>
        </w:numPr>
        <w:rPr>
          <w:rFonts w:ascii="Tahoma" w:hAnsi="Tahoma" w:cs="Tahoma"/>
          <w:szCs w:val="20"/>
        </w:rPr>
      </w:pPr>
      <w:r>
        <w:rPr>
          <w:rFonts w:ascii="Tahoma" w:hAnsi="Tahoma" w:cs="Tahoma"/>
          <w:szCs w:val="20"/>
        </w:rPr>
        <w:t>Vaginoplasty</w:t>
      </w:r>
    </w:p>
    <w:p w:rsidR="00000000" w:rsidRDefault="00196C41">
      <w:pPr>
        <w:numPr>
          <w:ilvl w:val="0"/>
          <w:numId w:val="26"/>
        </w:numPr>
        <w:rPr>
          <w:rFonts w:ascii="Tahoma" w:hAnsi="Tahoma" w:cs="Tahoma"/>
          <w:szCs w:val="20"/>
        </w:rPr>
      </w:pPr>
      <w:r>
        <w:rPr>
          <w:rFonts w:ascii="Tahoma" w:hAnsi="Tahoma" w:cs="Tahoma"/>
          <w:szCs w:val="20"/>
        </w:rPr>
        <w:t>Colovaginoplasty</w:t>
      </w:r>
    </w:p>
    <w:p w:rsidR="00000000" w:rsidRDefault="00196C41">
      <w:pPr>
        <w:numPr>
          <w:ilvl w:val="0"/>
          <w:numId w:val="26"/>
        </w:numPr>
        <w:rPr>
          <w:rFonts w:ascii="Tahoma" w:hAnsi="Tahoma" w:cs="Tahoma"/>
          <w:szCs w:val="20"/>
        </w:rPr>
      </w:pPr>
      <w:r>
        <w:rPr>
          <w:rFonts w:ascii="Tahoma" w:hAnsi="Tahoma" w:cs="Tahoma"/>
          <w:szCs w:val="20"/>
        </w:rPr>
        <w:t>Orchiectomy</w:t>
      </w:r>
    </w:p>
    <w:p w:rsidR="00000000" w:rsidRDefault="00196C41">
      <w:pPr>
        <w:numPr>
          <w:ilvl w:val="0"/>
          <w:numId w:val="26"/>
        </w:numPr>
        <w:rPr>
          <w:rFonts w:ascii="Tahoma" w:hAnsi="Tahoma" w:cs="Tahoma"/>
          <w:szCs w:val="20"/>
        </w:rPr>
      </w:pPr>
      <w:r>
        <w:rPr>
          <w:rFonts w:ascii="Tahoma" w:hAnsi="Tahoma" w:cs="Tahoma"/>
          <w:szCs w:val="20"/>
        </w:rPr>
        <w:t>Penectomy</w:t>
      </w:r>
    </w:p>
    <w:p w:rsidR="00000000" w:rsidRDefault="00196C41">
      <w:pPr>
        <w:numPr>
          <w:ilvl w:val="0"/>
          <w:numId w:val="26"/>
        </w:numPr>
        <w:rPr>
          <w:rFonts w:ascii="Tahoma" w:hAnsi="Tahoma" w:cs="Tahoma"/>
          <w:szCs w:val="20"/>
        </w:rPr>
      </w:pPr>
      <w:r>
        <w:rPr>
          <w:rFonts w:ascii="Tahoma" w:hAnsi="Tahoma" w:cs="Tahoma"/>
          <w:szCs w:val="20"/>
        </w:rPr>
        <w:t>Clitoroplasty</w:t>
      </w:r>
    </w:p>
    <w:p w:rsidR="00000000" w:rsidRDefault="00196C41">
      <w:pPr>
        <w:numPr>
          <w:ilvl w:val="0"/>
          <w:numId w:val="26"/>
        </w:numPr>
        <w:rPr>
          <w:rFonts w:ascii="Tahoma" w:hAnsi="Tahoma" w:cs="Tahoma"/>
          <w:szCs w:val="20"/>
        </w:rPr>
      </w:pPr>
      <w:r>
        <w:rPr>
          <w:rFonts w:ascii="Tahoma" w:hAnsi="Tahoma" w:cs="Tahoma"/>
          <w:szCs w:val="20"/>
        </w:rPr>
        <w:t>Labiaplasty</w:t>
      </w:r>
    </w:p>
    <w:p w:rsidR="00000000" w:rsidRDefault="00196C41">
      <w:pPr>
        <w:numPr>
          <w:ilvl w:val="0"/>
          <w:numId w:val="26"/>
        </w:numPr>
        <w:rPr>
          <w:rFonts w:ascii="Tahoma" w:hAnsi="Tahoma" w:cs="Tahoma"/>
          <w:szCs w:val="20"/>
        </w:rPr>
      </w:pPr>
      <w:r>
        <w:rPr>
          <w:rFonts w:ascii="Tahoma" w:hAnsi="Tahoma" w:cs="Tahoma"/>
          <w:szCs w:val="20"/>
        </w:rPr>
        <w:t>Rhinoplasty</w:t>
      </w:r>
    </w:p>
    <w:p w:rsidR="00000000" w:rsidRDefault="00196C41">
      <w:pPr>
        <w:numPr>
          <w:ilvl w:val="0"/>
          <w:numId w:val="26"/>
        </w:numPr>
        <w:rPr>
          <w:rFonts w:ascii="Tahoma" w:hAnsi="Tahoma" w:cs="Tahoma"/>
          <w:szCs w:val="20"/>
        </w:rPr>
      </w:pPr>
      <w:r>
        <w:rPr>
          <w:rFonts w:ascii="Tahoma" w:hAnsi="Tahoma" w:cs="Tahoma"/>
          <w:szCs w:val="20"/>
        </w:rPr>
        <w:t>Face-lifting</w:t>
      </w:r>
    </w:p>
    <w:p w:rsidR="00000000" w:rsidRDefault="00196C41">
      <w:pPr>
        <w:numPr>
          <w:ilvl w:val="0"/>
          <w:numId w:val="26"/>
        </w:numPr>
        <w:rPr>
          <w:rFonts w:ascii="Tahoma" w:hAnsi="Tahoma" w:cs="Tahoma"/>
          <w:szCs w:val="20"/>
        </w:rPr>
      </w:pPr>
      <w:r>
        <w:rPr>
          <w:rFonts w:ascii="Tahoma" w:hAnsi="Tahoma" w:cs="Tahoma"/>
          <w:szCs w:val="20"/>
        </w:rPr>
        <w:t>Lip reduction/enhancement</w:t>
      </w:r>
    </w:p>
    <w:p w:rsidR="00000000" w:rsidRDefault="00196C41">
      <w:pPr>
        <w:numPr>
          <w:ilvl w:val="0"/>
          <w:numId w:val="26"/>
        </w:numPr>
        <w:rPr>
          <w:rFonts w:ascii="Tahoma" w:hAnsi="Tahoma" w:cs="Tahoma"/>
          <w:szCs w:val="20"/>
        </w:rPr>
      </w:pPr>
      <w:r>
        <w:rPr>
          <w:rFonts w:ascii="Tahoma" w:hAnsi="Tahoma" w:cs="Tahoma"/>
          <w:szCs w:val="20"/>
        </w:rPr>
        <w:t>Facial bone reduction, sc</w:t>
      </w:r>
      <w:r>
        <w:rPr>
          <w:rFonts w:ascii="Tahoma" w:hAnsi="Tahoma" w:cs="Tahoma"/>
          <w:szCs w:val="20"/>
        </w:rPr>
        <w:t>ulpturing, or feminization surgery including face/forehead lift and jaw shortening</w:t>
      </w:r>
    </w:p>
    <w:p w:rsidR="00000000" w:rsidRDefault="00196C41">
      <w:pPr>
        <w:numPr>
          <w:ilvl w:val="0"/>
          <w:numId w:val="26"/>
        </w:numPr>
        <w:rPr>
          <w:rFonts w:ascii="Tahoma" w:hAnsi="Tahoma" w:cs="Tahoma"/>
          <w:szCs w:val="20"/>
        </w:rPr>
      </w:pPr>
      <w:r>
        <w:rPr>
          <w:rFonts w:ascii="Tahoma" w:hAnsi="Tahoma" w:cs="Tahoma"/>
          <w:szCs w:val="20"/>
        </w:rPr>
        <w:t>Blepharoplasty</w:t>
      </w:r>
    </w:p>
    <w:p w:rsidR="00000000" w:rsidRDefault="00196C41">
      <w:pPr>
        <w:numPr>
          <w:ilvl w:val="0"/>
          <w:numId w:val="26"/>
        </w:numPr>
        <w:rPr>
          <w:rFonts w:ascii="Tahoma" w:hAnsi="Tahoma" w:cs="Tahoma"/>
          <w:szCs w:val="20"/>
        </w:rPr>
      </w:pPr>
      <w:r>
        <w:rPr>
          <w:rFonts w:ascii="Tahoma" w:hAnsi="Tahoma" w:cs="Tahoma"/>
          <w:szCs w:val="20"/>
        </w:rPr>
        <w:t>Liposuction</w:t>
      </w:r>
    </w:p>
    <w:p w:rsidR="00000000" w:rsidRDefault="00196C41">
      <w:pPr>
        <w:numPr>
          <w:ilvl w:val="0"/>
          <w:numId w:val="26"/>
        </w:numPr>
        <w:rPr>
          <w:rFonts w:ascii="Tahoma" w:hAnsi="Tahoma" w:cs="Tahoma"/>
          <w:szCs w:val="20"/>
        </w:rPr>
      </w:pPr>
      <w:r>
        <w:rPr>
          <w:rFonts w:ascii="Tahoma" w:hAnsi="Tahoma" w:cs="Tahoma"/>
          <w:szCs w:val="20"/>
        </w:rPr>
        <w:t>Trachea shave/reduction thyroid chondroplasty</w:t>
      </w:r>
    </w:p>
    <w:p w:rsidR="00000000" w:rsidRDefault="00196C41">
      <w:pPr>
        <w:numPr>
          <w:ilvl w:val="0"/>
          <w:numId w:val="26"/>
        </w:numPr>
        <w:rPr>
          <w:rFonts w:ascii="Tahoma" w:hAnsi="Tahoma" w:cs="Tahoma"/>
          <w:szCs w:val="20"/>
        </w:rPr>
      </w:pPr>
      <w:r>
        <w:rPr>
          <w:rFonts w:ascii="Tahoma" w:hAnsi="Tahoma" w:cs="Tahoma"/>
          <w:szCs w:val="20"/>
        </w:rPr>
        <w:t>Laryngoplasty</w:t>
      </w:r>
    </w:p>
    <w:p w:rsidR="00000000" w:rsidRDefault="00196C41">
      <w:pPr>
        <w:numPr>
          <w:ilvl w:val="0"/>
          <w:numId w:val="26"/>
        </w:numPr>
        <w:rPr>
          <w:rFonts w:ascii="Tahoma" w:hAnsi="Tahoma" w:cs="Tahoma"/>
        </w:rPr>
      </w:pPr>
      <w:r>
        <w:rPr>
          <w:rFonts w:ascii="Tahoma" w:hAnsi="Tahoma" w:cs="Tahoma"/>
          <w:szCs w:val="20"/>
        </w:rPr>
        <w:t>Voice modification surgery</w:t>
      </w:r>
    </w:p>
    <w:p w:rsidR="00000000" w:rsidRDefault="00196C41">
      <w:pPr>
        <w:numPr>
          <w:ilvl w:val="0"/>
          <w:numId w:val="26"/>
        </w:numPr>
        <w:rPr>
          <w:rFonts w:ascii="Tahoma" w:hAnsi="Tahoma" w:cs="Tahoma"/>
        </w:rPr>
      </w:pPr>
      <w:r>
        <w:rPr>
          <w:rFonts w:ascii="Tahoma" w:hAnsi="Tahoma" w:cs="Tahoma"/>
        </w:rPr>
        <w:t>Facial implants or injections</w:t>
      </w:r>
    </w:p>
    <w:p w:rsidR="00000000" w:rsidRDefault="00196C41">
      <w:pPr>
        <w:numPr>
          <w:ilvl w:val="0"/>
          <w:numId w:val="26"/>
        </w:numPr>
        <w:rPr>
          <w:rFonts w:ascii="Tahoma" w:hAnsi="Tahoma" w:cs="Tahoma"/>
          <w:szCs w:val="20"/>
        </w:rPr>
      </w:pPr>
      <w:r>
        <w:rPr>
          <w:rFonts w:ascii="Tahoma" w:hAnsi="Tahoma" w:cs="Tahoma"/>
        </w:rPr>
        <w:t>Silicone injections of the br</w:t>
      </w:r>
      <w:r>
        <w:rPr>
          <w:rFonts w:ascii="Tahoma" w:hAnsi="Tahoma" w:cs="Tahoma"/>
          <w:szCs w:val="20"/>
        </w:rPr>
        <w:t>east</w:t>
      </w:r>
    </w:p>
    <w:p w:rsidR="00000000" w:rsidRDefault="00196C41">
      <w:pPr>
        <w:numPr>
          <w:ilvl w:val="0"/>
          <w:numId w:val="26"/>
        </w:numPr>
        <w:rPr>
          <w:rFonts w:ascii="Tahoma" w:hAnsi="Tahoma" w:cs="Tahoma"/>
          <w:szCs w:val="20"/>
        </w:rPr>
      </w:pPr>
      <w:r>
        <w:rPr>
          <w:rFonts w:ascii="Tahoma" w:hAnsi="Tahoma" w:cs="Tahoma"/>
          <w:szCs w:val="20"/>
        </w:rPr>
        <w:t>Liposuction</w:t>
      </w:r>
    </w:p>
    <w:p w:rsidR="00000000" w:rsidRDefault="00196C41">
      <w:pPr>
        <w:numPr>
          <w:ilvl w:val="0"/>
          <w:numId w:val="26"/>
        </w:numPr>
        <w:rPr>
          <w:rFonts w:ascii="Tahoma" w:hAnsi="Tahoma" w:cs="Tahoma"/>
          <w:szCs w:val="20"/>
        </w:rPr>
      </w:pPr>
      <w:r>
        <w:rPr>
          <w:rFonts w:ascii="Tahoma" w:hAnsi="Tahoma" w:cs="Tahoma"/>
          <w:szCs w:val="20"/>
        </w:rPr>
        <w:t>Electrolysis, hair removal, or hair transplantation</w:t>
      </w:r>
    </w:p>
    <w:p w:rsidR="00000000" w:rsidRDefault="00196C41">
      <w:pPr>
        <w:numPr>
          <w:ilvl w:val="0"/>
          <w:numId w:val="26"/>
        </w:numPr>
        <w:rPr>
          <w:rFonts w:ascii="Tahoma" w:hAnsi="Tahoma" w:cs="Tahoma"/>
          <w:szCs w:val="20"/>
        </w:rPr>
      </w:pPr>
      <w:r>
        <w:rPr>
          <w:rFonts w:ascii="Tahoma" w:hAnsi="Tahoma" w:cs="Tahoma"/>
          <w:szCs w:val="20"/>
        </w:rPr>
        <w:t>Collagen injections</w:t>
      </w:r>
    </w:p>
    <w:p w:rsidR="00000000" w:rsidRDefault="00196C41">
      <w:pPr>
        <w:numPr>
          <w:ilvl w:val="0"/>
          <w:numId w:val="26"/>
        </w:numPr>
        <w:rPr>
          <w:rFonts w:ascii="Tahoma" w:hAnsi="Tahoma" w:cs="Tahoma"/>
          <w:szCs w:val="20"/>
        </w:rPr>
      </w:pPr>
      <w:r>
        <w:rPr>
          <w:rFonts w:ascii="Tahoma" w:hAnsi="Tahoma" w:cs="Tahoma"/>
          <w:szCs w:val="20"/>
        </w:rPr>
        <w:t>Removal of redundant skin</w:t>
      </w:r>
    </w:p>
    <w:p w:rsidR="00000000" w:rsidRDefault="00196C41">
      <w:pPr>
        <w:pStyle w:val="Header"/>
        <w:tabs>
          <w:tab w:val="clear" w:pos="4320"/>
          <w:tab w:val="clear" w:pos="8640"/>
        </w:tabs>
        <w:rPr>
          <w:rFonts w:ascii="Tahoma" w:hAnsi="Tahoma" w:cs="Tahoma"/>
          <w:szCs w:val="20"/>
        </w:rPr>
      </w:pPr>
    </w:p>
    <w:p w:rsidR="00000000" w:rsidRDefault="00196C41">
      <w:pPr>
        <w:rPr>
          <w:rFonts w:ascii="Tahoma" w:hAnsi="Tahoma" w:cs="Tahoma"/>
          <w:szCs w:val="20"/>
        </w:rPr>
      </w:pPr>
      <w:r>
        <w:rPr>
          <w:rFonts w:ascii="Tahoma" w:hAnsi="Tahoma" w:cs="Tahoma"/>
          <w:szCs w:val="20"/>
        </w:rPr>
        <w:lastRenderedPageBreak/>
        <w:t>Given the high rate of remission of GID after the onset of puberty, a complete social role change and hormone treatment in prepubertal child</w:t>
      </w:r>
      <w:r>
        <w:rPr>
          <w:rFonts w:ascii="Tahoma" w:hAnsi="Tahoma" w:cs="Tahoma"/>
          <w:szCs w:val="20"/>
        </w:rPr>
        <w:t>ren with GID is not recommended.</w:t>
      </w:r>
    </w:p>
    <w:p w:rsidR="00000000" w:rsidRDefault="00196C41">
      <w:pPr>
        <w:rPr>
          <w:rFonts w:ascii="Tahoma" w:hAnsi="Tahoma" w:cs="Tahoma"/>
          <w:b/>
        </w:rPr>
      </w:pPr>
    </w:p>
    <w:p w:rsidR="00000000" w:rsidRDefault="00196C41">
      <w:pPr>
        <w:outlineLvl w:val="0"/>
        <w:rPr>
          <w:rFonts w:ascii="Tahoma" w:hAnsi="Tahoma" w:cs="Tahoma"/>
          <w:b/>
        </w:rPr>
      </w:pPr>
      <w:r>
        <w:rPr>
          <w:rFonts w:ascii="Tahoma" w:hAnsi="Tahoma" w:cs="Tahoma"/>
          <w:b/>
        </w:rPr>
        <w:t>Revision History:</w:t>
      </w:r>
    </w:p>
    <w:p w:rsidR="00000000" w:rsidRDefault="00196C41">
      <w:pPr>
        <w:numPr>
          <w:ilvl w:val="0"/>
          <w:numId w:val="28"/>
        </w:numPr>
        <w:rPr>
          <w:rFonts w:ascii="Tahoma" w:hAnsi="Tahoma" w:cs="Tahoma"/>
          <w:b/>
        </w:rPr>
      </w:pPr>
      <w:r>
        <w:rPr>
          <w:rFonts w:ascii="Tahoma" w:hAnsi="Tahoma" w:cs="Tahoma"/>
          <w:b/>
        </w:rPr>
        <w:t>Initiated:</w:t>
      </w:r>
      <w:r>
        <w:rPr>
          <w:rFonts w:ascii="Tahoma" w:hAnsi="Tahoma" w:cs="Tahoma"/>
          <w:b/>
        </w:rPr>
        <w:tab/>
        <w:t>xx/xx/09</w:t>
      </w:r>
    </w:p>
    <w:p w:rsidR="00000000" w:rsidRDefault="00196C41">
      <w:pPr>
        <w:rPr>
          <w:rFonts w:ascii="Tahoma" w:hAnsi="Tahoma" w:cs="Tahoma"/>
          <w:b/>
        </w:rPr>
      </w:pPr>
    </w:p>
    <w:p w:rsidR="00000000" w:rsidRDefault="00196C41">
      <w:pPr>
        <w:outlineLvl w:val="0"/>
        <w:rPr>
          <w:rFonts w:ascii="Tahoma" w:hAnsi="Tahoma" w:cs="Tahoma"/>
          <w:b/>
        </w:rPr>
      </w:pPr>
      <w:r>
        <w:rPr>
          <w:rFonts w:ascii="Tahoma" w:hAnsi="Tahoma" w:cs="Tahoma"/>
          <w:b/>
        </w:rPr>
        <w:t>References:</w:t>
      </w:r>
    </w:p>
    <w:p w:rsidR="00000000" w:rsidRDefault="00196C41">
      <w:pPr>
        <w:numPr>
          <w:ilvl w:val="0"/>
          <w:numId w:val="24"/>
        </w:numPr>
        <w:rPr>
          <w:rFonts w:ascii="Tahoma" w:hAnsi="Tahoma" w:cs="Tahoma"/>
          <w:b/>
        </w:rPr>
      </w:pPr>
      <w:r>
        <w:rPr>
          <w:rFonts w:ascii="Tahoma" w:hAnsi="Tahoma" w:cs="Tahoma"/>
          <w:szCs w:val="20"/>
        </w:rPr>
        <w:t>Harry Benjamin International Gender Dysphoria Association’s Standards of Care for Gender Identity Disorders:  http://www.wpath.org/Documents2/socv6.pdf</w:t>
      </w:r>
    </w:p>
    <w:p w:rsidR="00196C41" w:rsidRDefault="00196C41">
      <w:pPr>
        <w:rPr>
          <w:rFonts w:ascii="Tahoma" w:hAnsi="Tahoma" w:cs="Tahoma"/>
          <w:b/>
          <w:u w:val="single"/>
        </w:rPr>
      </w:pPr>
    </w:p>
    <w:sectPr w:rsidR="00196C41">
      <w:footerReference w:type="default" r:id="rId8"/>
      <w:pgSz w:w="12240" w:h="15840"/>
      <w:pgMar w:top="90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C41" w:rsidRDefault="00196C41">
      <w:r>
        <w:separator/>
      </w:r>
    </w:p>
  </w:endnote>
  <w:endnote w:type="continuationSeparator" w:id="1">
    <w:p w:rsidR="00196C41" w:rsidRDefault="00196C4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Garamond,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96C41">
    <w:pPr>
      <w:pStyle w:val="Footer"/>
      <w:rPr>
        <w:rFonts w:ascii="Tahoma" w:hAnsi="Tahoma" w:cs="Tahoma"/>
        <w:b/>
        <w:bCs/>
        <w:sz w:val="16"/>
      </w:rPr>
    </w:pPr>
    <w:r>
      <w:rPr>
        <w:rFonts w:ascii="Tahoma" w:hAnsi="Tahoma" w:cs="Tahoma"/>
        <w:b/>
        <w:bCs/>
        <w:sz w:val="16"/>
      </w:rPr>
      <w:t>HPHC M</w:t>
    </w:r>
    <w:r>
      <w:rPr>
        <w:rFonts w:ascii="Tahoma" w:hAnsi="Tahoma" w:cs="Tahoma"/>
        <w:b/>
        <w:bCs/>
        <w:sz w:val="16"/>
      </w:rPr>
      <w:t>edical Review Criteria</w:t>
    </w:r>
    <w:r>
      <w:rPr>
        <w:rFonts w:ascii="Tahoma" w:hAnsi="Tahoma" w:cs="Tahoma"/>
        <w:b/>
        <w:bCs/>
        <w:sz w:val="16"/>
      </w:rPr>
      <w:tab/>
    </w:r>
    <w:r>
      <w:rPr>
        <w:rFonts w:ascii="Tahoma" w:hAnsi="Tahoma" w:cs="Tahoma"/>
        <w:b/>
        <w:bCs/>
        <w:sz w:val="16"/>
      </w:rPr>
      <w:tab/>
    </w:r>
  </w:p>
  <w:p w:rsidR="00000000" w:rsidRDefault="00196C41">
    <w:pPr>
      <w:pStyle w:val="Footer"/>
      <w:rPr>
        <w:rStyle w:val="PageNumber"/>
        <w:rFonts w:ascii="Tahoma" w:hAnsi="Tahoma" w:cs="Tahoma"/>
        <w:b/>
        <w:bCs/>
        <w:sz w:val="16"/>
      </w:rPr>
    </w:pPr>
  </w:p>
  <w:p w:rsidR="00000000" w:rsidRDefault="00196C41">
    <w:pPr>
      <w:pStyle w:val="Footer"/>
      <w:rPr>
        <w:rStyle w:val="PageNumber"/>
        <w:rFonts w:ascii="Tahoma" w:hAnsi="Tahoma" w:cs="Tahoma"/>
        <w:b/>
        <w:bCs/>
        <w:sz w:val="16"/>
      </w:rPr>
    </w:pPr>
    <w:r>
      <w:rPr>
        <w:rStyle w:val="PageNumber"/>
        <w:rFonts w:ascii="Tahoma" w:hAnsi="Tahoma" w:cs="Tahoma"/>
        <w:b/>
        <w:bCs/>
        <w:sz w:val="16"/>
      </w:rPr>
      <w:t>Sex Reassignment Surgery</w:t>
    </w:r>
    <w:r>
      <w:rPr>
        <w:rStyle w:val="PageNumber"/>
        <w:rFonts w:ascii="Tahoma" w:hAnsi="Tahoma" w:cs="Tahoma"/>
        <w:b/>
        <w:bCs/>
        <w:sz w:val="16"/>
      </w:rPr>
      <w:tab/>
    </w:r>
    <w:r>
      <w:rPr>
        <w:rStyle w:val="PageNumber"/>
        <w:rFonts w:ascii="Tahoma" w:hAnsi="Tahoma" w:cs="Tahoma"/>
        <w:b/>
        <w:bCs/>
        <w:sz w:val="16"/>
      </w:rPr>
      <w:tab/>
    </w:r>
    <w:r>
      <w:rPr>
        <w:rFonts w:ascii="Tahoma" w:hAnsi="Tahoma" w:cs="Tahoma"/>
        <w:b/>
        <w:bCs/>
        <w:sz w:val="16"/>
      </w:rPr>
      <w:t xml:space="preserve">Page </w:t>
    </w:r>
    <w:r>
      <w:rPr>
        <w:rStyle w:val="PageNumber"/>
        <w:rFonts w:ascii="Tahoma" w:hAnsi="Tahoma" w:cs="Tahoma"/>
        <w:b/>
        <w:bCs/>
        <w:sz w:val="16"/>
      </w:rPr>
      <w:fldChar w:fldCharType="begin"/>
    </w:r>
    <w:r>
      <w:rPr>
        <w:rStyle w:val="PageNumber"/>
        <w:rFonts w:ascii="Tahoma" w:hAnsi="Tahoma" w:cs="Tahoma"/>
        <w:b/>
        <w:bCs/>
        <w:sz w:val="16"/>
      </w:rPr>
      <w:instrText xml:space="preserve"> PAGE </w:instrText>
    </w:r>
    <w:r>
      <w:rPr>
        <w:rStyle w:val="PageNumber"/>
        <w:rFonts w:ascii="Tahoma" w:hAnsi="Tahoma" w:cs="Tahoma"/>
        <w:b/>
        <w:bCs/>
        <w:sz w:val="16"/>
      </w:rPr>
      <w:fldChar w:fldCharType="separate"/>
    </w:r>
    <w:r w:rsidR="009A38D2">
      <w:rPr>
        <w:rStyle w:val="PageNumber"/>
        <w:rFonts w:ascii="Tahoma" w:hAnsi="Tahoma" w:cs="Tahoma"/>
        <w:b/>
        <w:bCs/>
        <w:noProof/>
        <w:sz w:val="16"/>
      </w:rPr>
      <w:t>4</w:t>
    </w:r>
    <w:r>
      <w:rPr>
        <w:rStyle w:val="PageNumber"/>
        <w:rFonts w:ascii="Tahoma" w:hAnsi="Tahoma" w:cs="Tahoma"/>
        <w:b/>
        <w:bCs/>
        <w:sz w:val="16"/>
      </w:rPr>
      <w:fldChar w:fldCharType="end"/>
    </w:r>
    <w:r>
      <w:rPr>
        <w:rStyle w:val="PageNumber"/>
        <w:rFonts w:ascii="Tahoma" w:hAnsi="Tahoma" w:cs="Tahoma"/>
        <w:b/>
        <w:bCs/>
        <w:sz w:val="16"/>
      </w:rPr>
      <w:t xml:space="preserve"> of </w:t>
    </w:r>
    <w:r>
      <w:rPr>
        <w:rStyle w:val="PageNumber"/>
        <w:rFonts w:ascii="Tahoma" w:hAnsi="Tahoma" w:cs="Tahoma"/>
        <w:b/>
        <w:bCs/>
        <w:sz w:val="16"/>
      </w:rPr>
      <w:fldChar w:fldCharType="begin"/>
    </w:r>
    <w:r>
      <w:rPr>
        <w:rStyle w:val="PageNumber"/>
        <w:rFonts w:ascii="Tahoma" w:hAnsi="Tahoma" w:cs="Tahoma"/>
        <w:b/>
        <w:bCs/>
        <w:sz w:val="16"/>
      </w:rPr>
      <w:instrText xml:space="preserve"> NUMPAGES </w:instrText>
    </w:r>
    <w:r>
      <w:rPr>
        <w:rStyle w:val="PageNumber"/>
        <w:rFonts w:ascii="Tahoma" w:hAnsi="Tahoma" w:cs="Tahoma"/>
        <w:b/>
        <w:bCs/>
        <w:sz w:val="16"/>
      </w:rPr>
      <w:fldChar w:fldCharType="separate"/>
    </w:r>
    <w:r w:rsidR="009A38D2">
      <w:rPr>
        <w:rStyle w:val="PageNumber"/>
        <w:rFonts w:ascii="Tahoma" w:hAnsi="Tahoma" w:cs="Tahoma"/>
        <w:b/>
        <w:bCs/>
        <w:noProof/>
        <w:sz w:val="16"/>
      </w:rPr>
      <w:t>4</w:t>
    </w:r>
    <w:r>
      <w:rPr>
        <w:rStyle w:val="PageNumber"/>
        <w:rFonts w:ascii="Tahoma" w:hAnsi="Tahoma" w:cs="Tahoma"/>
        <w:b/>
        <w:bCs/>
        <w:sz w:val="16"/>
      </w:rPr>
      <w:fldChar w:fldCharType="end"/>
    </w:r>
  </w:p>
  <w:p w:rsidR="00000000" w:rsidRDefault="00196C41">
    <w:pPr>
      <w:pStyle w:val="Footer"/>
      <w:rPr>
        <w:rStyle w:val="PageNumber"/>
        <w:rFonts w:ascii="Tahoma" w:hAnsi="Tahoma" w:cs="Tahoma"/>
        <w:sz w:val="16"/>
      </w:rPr>
    </w:pPr>
  </w:p>
  <w:p w:rsidR="00000000" w:rsidRDefault="00196C41">
    <w:pPr>
      <w:pStyle w:val="Footer"/>
      <w:rPr>
        <w:rFonts w:ascii="Tahoma" w:hAnsi="Tahoma" w:cs="Tahoma"/>
        <w:sz w:val="16"/>
      </w:rPr>
    </w:pPr>
    <w:r>
      <w:rPr>
        <w:rFonts w:ascii="Tahoma" w:hAnsi="Tahoma" w:cs="Tahoma"/>
        <w:i/>
        <w:iCs/>
        <w:sz w:val="16"/>
      </w:rPr>
      <w:t>Coverage described in this policy is standard under most HPHC plans. Specific benefits may vary by product and/or employer group. Please reference appropriate member mat</w:t>
    </w:r>
    <w:r>
      <w:rPr>
        <w:rFonts w:ascii="Tahoma" w:hAnsi="Tahoma" w:cs="Tahoma"/>
        <w:i/>
        <w:iCs/>
        <w:sz w:val="16"/>
      </w:rPr>
      <w:t>erials (e.g., Benefit Handbook, Certificate of Coverage) for member-specific benefit information.</w:t>
    </w:r>
  </w:p>
  <w:p w:rsidR="00000000" w:rsidRDefault="00196C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C41" w:rsidRDefault="00196C41">
      <w:r>
        <w:separator/>
      </w:r>
    </w:p>
  </w:footnote>
  <w:footnote w:type="continuationSeparator" w:id="1">
    <w:p w:rsidR="00196C41" w:rsidRDefault="00196C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21582"/>
    <w:multiLevelType w:val="hybridMultilevel"/>
    <w:tmpl w:val="6442C1D2"/>
    <w:lvl w:ilvl="0" w:tplc="0409000B">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1879F9"/>
    <w:multiLevelType w:val="hybridMultilevel"/>
    <w:tmpl w:val="20001618"/>
    <w:lvl w:ilvl="0" w:tplc="F972137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190429"/>
    <w:multiLevelType w:val="hybridMultilevel"/>
    <w:tmpl w:val="3AAAE90E"/>
    <w:lvl w:ilvl="0" w:tplc="9F168B6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18A2006"/>
    <w:multiLevelType w:val="hybridMultilevel"/>
    <w:tmpl w:val="6442C1D2"/>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2B908C8"/>
    <w:multiLevelType w:val="hybridMultilevel"/>
    <w:tmpl w:val="0E80B6B4"/>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83E4A35"/>
    <w:multiLevelType w:val="hybridMultilevel"/>
    <w:tmpl w:val="10AA9A46"/>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A0C7C6C"/>
    <w:multiLevelType w:val="hybridMultilevel"/>
    <w:tmpl w:val="1CF6482E"/>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B8D39E1"/>
    <w:multiLevelType w:val="hybridMultilevel"/>
    <w:tmpl w:val="2D68619E"/>
    <w:lvl w:ilvl="0" w:tplc="0409000B">
      <w:start w:val="1"/>
      <w:numFmt w:val="bullet"/>
      <w:lvlText w:val=""/>
      <w:lvlJc w:val="left"/>
      <w:pPr>
        <w:tabs>
          <w:tab w:val="num" w:pos="720"/>
        </w:tabs>
        <w:ind w:left="720" w:hanging="360"/>
      </w:pPr>
      <w:rPr>
        <w:rFonts w:ascii="Wingdings" w:hAnsi="Wingdings" w:hint="default"/>
        <w:color w:val="auto"/>
      </w:rPr>
    </w:lvl>
    <w:lvl w:ilvl="1" w:tplc="F9721370">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F649B8"/>
    <w:multiLevelType w:val="hybridMultilevel"/>
    <w:tmpl w:val="2E109718"/>
    <w:lvl w:ilvl="0" w:tplc="7CA68EB0">
      <w:start w:val="1"/>
      <w:numFmt w:val="lowerLetter"/>
      <w:lvlText w:val="%1)"/>
      <w:lvlJc w:val="left"/>
      <w:pPr>
        <w:tabs>
          <w:tab w:val="num" w:pos="1080"/>
        </w:tabs>
        <w:ind w:left="1080" w:hanging="360"/>
      </w:pPr>
      <w:rPr>
        <w:rFonts w:hint="default"/>
      </w:rPr>
    </w:lvl>
    <w:lvl w:ilvl="1" w:tplc="F9721370">
      <w:start w:val="1"/>
      <w:numFmt w:val="bullet"/>
      <w:lvlText w:val=""/>
      <w:lvlJc w:val="left"/>
      <w:pPr>
        <w:tabs>
          <w:tab w:val="num" w:pos="1800"/>
        </w:tabs>
        <w:ind w:left="1800" w:hanging="360"/>
      </w:pPr>
      <w:rPr>
        <w:rFonts w:ascii="Symbol" w:hAnsi="Symbol" w:hint="default"/>
        <w:color w:val="auto"/>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0587BDD"/>
    <w:multiLevelType w:val="hybridMultilevel"/>
    <w:tmpl w:val="40AECA9E"/>
    <w:lvl w:ilvl="0" w:tplc="04090009">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0B901AA"/>
    <w:multiLevelType w:val="hybridMultilevel"/>
    <w:tmpl w:val="24180328"/>
    <w:lvl w:ilvl="0" w:tplc="04090009">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5457733"/>
    <w:multiLevelType w:val="hybridMultilevel"/>
    <w:tmpl w:val="6FC65C5A"/>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2F411259"/>
    <w:multiLevelType w:val="hybridMultilevel"/>
    <w:tmpl w:val="096487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491660"/>
    <w:multiLevelType w:val="hybridMultilevel"/>
    <w:tmpl w:val="14CC2D56"/>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349353A"/>
    <w:multiLevelType w:val="hybridMultilevel"/>
    <w:tmpl w:val="48040EC6"/>
    <w:lvl w:ilvl="0" w:tplc="F972137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E767FA"/>
    <w:multiLevelType w:val="hybridMultilevel"/>
    <w:tmpl w:val="60565BFE"/>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43E7237"/>
    <w:multiLevelType w:val="hybridMultilevel"/>
    <w:tmpl w:val="0568AF84"/>
    <w:lvl w:ilvl="0" w:tplc="F972137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876588B"/>
    <w:multiLevelType w:val="hybridMultilevel"/>
    <w:tmpl w:val="46022056"/>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9007E1E"/>
    <w:multiLevelType w:val="hybridMultilevel"/>
    <w:tmpl w:val="0C1CDFF0"/>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45910FBE"/>
    <w:multiLevelType w:val="hybridMultilevel"/>
    <w:tmpl w:val="8AFA4242"/>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49087729"/>
    <w:multiLevelType w:val="hybridMultilevel"/>
    <w:tmpl w:val="5EAECDBE"/>
    <w:lvl w:ilvl="0" w:tplc="F972137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AFA2E65"/>
    <w:multiLevelType w:val="hybridMultilevel"/>
    <w:tmpl w:val="992A64CE"/>
    <w:lvl w:ilvl="0" w:tplc="04090009">
      <w:start w:val="1"/>
      <w:numFmt w:val="bullet"/>
      <w:lvlText w:val=""/>
      <w:lvlJc w:val="left"/>
      <w:pPr>
        <w:tabs>
          <w:tab w:val="num" w:pos="360"/>
        </w:tabs>
        <w:ind w:left="360" w:hanging="360"/>
      </w:pPr>
      <w:rPr>
        <w:rFonts w:ascii="Wingdings" w:hAnsi="Wingdings" w:hint="default"/>
      </w:rPr>
    </w:lvl>
    <w:lvl w:ilvl="1" w:tplc="F9721370">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DBE3998"/>
    <w:multiLevelType w:val="hybridMultilevel"/>
    <w:tmpl w:val="6F72D6D4"/>
    <w:lvl w:ilvl="0" w:tplc="F972137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E0A27A4"/>
    <w:multiLevelType w:val="hybridMultilevel"/>
    <w:tmpl w:val="03C027E0"/>
    <w:lvl w:ilvl="0" w:tplc="F972137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EC05557"/>
    <w:multiLevelType w:val="hybridMultilevel"/>
    <w:tmpl w:val="D93442E8"/>
    <w:lvl w:ilvl="0" w:tplc="F972137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56F5638"/>
    <w:multiLevelType w:val="hybridMultilevel"/>
    <w:tmpl w:val="ECC01F0C"/>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55C947EC"/>
    <w:multiLevelType w:val="hybridMultilevel"/>
    <w:tmpl w:val="C0D66D36"/>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56C163AD"/>
    <w:multiLevelType w:val="hybridMultilevel"/>
    <w:tmpl w:val="53A0BB8A"/>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57191AAF"/>
    <w:multiLevelType w:val="hybridMultilevel"/>
    <w:tmpl w:val="7F02E644"/>
    <w:lvl w:ilvl="0" w:tplc="F972137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76A535F"/>
    <w:multiLevelType w:val="hybridMultilevel"/>
    <w:tmpl w:val="AD88A5A6"/>
    <w:lvl w:ilvl="0" w:tplc="0409000B">
      <w:start w:val="1"/>
      <w:numFmt w:val="bullet"/>
      <w:lvlText w:val=""/>
      <w:lvlJc w:val="left"/>
      <w:pPr>
        <w:tabs>
          <w:tab w:val="num" w:pos="0"/>
        </w:tabs>
        <w:ind w:left="0" w:hanging="360"/>
      </w:pPr>
      <w:rPr>
        <w:rFonts w:ascii="Wingdings" w:hAnsi="Wingdings"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nsid w:val="595D119C"/>
    <w:multiLevelType w:val="hybridMultilevel"/>
    <w:tmpl w:val="71B0E6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5CD803BD"/>
    <w:multiLevelType w:val="hybridMultilevel"/>
    <w:tmpl w:val="1040E31E"/>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5CA51AD"/>
    <w:multiLevelType w:val="multilevel"/>
    <w:tmpl w:val="D00E3D46"/>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3">
    <w:nsid w:val="68BB28C9"/>
    <w:multiLevelType w:val="hybridMultilevel"/>
    <w:tmpl w:val="09648752"/>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9DA114D"/>
    <w:multiLevelType w:val="hybridMultilevel"/>
    <w:tmpl w:val="D00E3D46"/>
    <w:lvl w:ilvl="0" w:tplc="F972137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nsid w:val="74DF5B95"/>
    <w:multiLevelType w:val="hybridMultilevel"/>
    <w:tmpl w:val="3CEC7A2E"/>
    <w:lvl w:ilvl="0" w:tplc="F972137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6697721"/>
    <w:multiLevelType w:val="hybridMultilevel"/>
    <w:tmpl w:val="1BE0DB02"/>
    <w:lvl w:ilvl="0" w:tplc="F972137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7A83290"/>
    <w:multiLevelType w:val="hybridMultilevel"/>
    <w:tmpl w:val="6442C1D2"/>
    <w:lvl w:ilvl="0" w:tplc="0409000B">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9980DA8"/>
    <w:multiLevelType w:val="hybridMultilevel"/>
    <w:tmpl w:val="3DA69A8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79DA697E"/>
    <w:multiLevelType w:val="multilevel"/>
    <w:tmpl w:val="B75243F6"/>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0">
    <w:nsid w:val="7B245DB6"/>
    <w:multiLevelType w:val="hybridMultilevel"/>
    <w:tmpl w:val="AAEA3C9C"/>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30"/>
  </w:num>
  <w:num w:numId="3">
    <w:abstractNumId w:val="25"/>
  </w:num>
  <w:num w:numId="4">
    <w:abstractNumId w:val="19"/>
  </w:num>
  <w:num w:numId="5">
    <w:abstractNumId w:val="15"/>
  </w:num>
  <w:num w:numId="6">
    <w:abstractNumId w:val="18"/>
  </w:num>
  <w:num w:numId="7">
    <w:abstractNumId w:val="6"/>
  </w:num>
  <w:num w:numId="8">
    <w:abstractNumId w:val="22"/>
  </w:num>
  <w:num w:numId="9">
    <w:abstractNumId w:val="11"/>
  </w:num>
  <w:num w:numId="10">
    <w:abstractNumId w:val="13"/>
  </w:num>
  <w:num w:numId="11">
    <w:abstractNumId w:val="31"/>
  </w:num>
  <w:num w:numId="12">
    <w:abstractNumId w:val="17"/>
  </w:num>
  <w:num w:numId="13">
    <w:abstractNumId w:val="35"/>
  </w:num>
  <w:num w:numId="14">
    <w:abstractNumId w:val="36"/>
  </w:num>
  <w:num w:numId="15">
    <w:abstractNumId w:val="40"/>
  </w:num>
  <w:num w:numId="16">
    <w:abstractNumId w:val="27"/>
  </w:num>
  <w:num w:numId="17">
    <w:abstractNumId w:val="39"/>
  </w:num>
  <w:num w:numId="18">
    <w:abstractNumId w:val="4"/>
  </w:num>
  <w:num w:numId="19">
    <w:abstractNumId w:val="21"/>
  </w:num>
  <w:num w:numId="20">
    <w:abstractNumId w:val="14"/>
  </w:num>
  <w:num w:numId="21">
    <w:abstractNumId w:val="8"/>
  </w:num>
  <w:num w:numId="22">
    <w:abstractNumId w:val="10"/>
  </w:num>
  <w:num w:numId="23">
    <w:abstractNumId w:val="12"/>
  </w:num>
  <w:num w:numId="24">
    <w:abstractNumId w:val="33"/>
  </w:num>
  <w:num w:numId="25">
    <w:abstractNumId w:val="26"/>
  </w:num>
  <w:num w:numId="26">
    <w:abstractNumId w:val="3"/>
  </w:num>
  <w:num w:numId="27">
    <w:abstractNumId w:val="38"/>
  </w:num>
  <w:num w:numId="28">
    <w:abstractNumId w:val="5"/>
  </w:num>
  <w:num w:numId="29">
    <w:abstractNumId w:val="1"/>
  </w:num>
  <w:num w:numId="30">
    <w:abstractNumId w:val="37"/>
  </w:num>
  <w:num w:numId="31">
    <w:abstractNumId w:val="23"/>
  </w:num>
  <w:num w:numId="32">
    <w:abstractNumId w:val="0"/>
  </w:num>
  <w:num w:numId="33">
    <w:abstractNumId w:val="28"/>
  </w:num>
  <w:num w:numId="34">
    <w:abstractNumId w:val="29"/>
  </w:num>
  <w:num w:numId="35">
    <w:abstractNumId w:val="24"/>
  </w:num>
  <w:num w:numId="36">
    <w:abstractNumId w:val="7"/>
  </w:num>
  <w:num w:numId="37">
    <w:abstractNumId w:val="20"/>
  </w:num>
  <w:num w:numId="38">
    <w:abstractNumId w:val="16"/>
  </w:num>
  <w:num w:numId="39">
    <w:abstractNumId w:val="34"/>
  </w:num>
  <w:num w:numId="40">
    <w:abstractNumId w:val="32"/>
  </w:num>
  <w:num w:numId="4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stylePaneFormatFilter w:val="3F01"/>
  <w:defaultTabStop w:val="720"/>
  <w:characterSpacingControl w:val="doNotCompress"/>
  <w:footnotePr>
    <w:footnote w:id="0"/>
    <w:footnote w:id="1"/>
  </w:footnotePr>
  <w:endnotePr>
    <w:endnote w:id="0"/>
    <w:endnote w:id="1"/>
  </w:endnotePr>
  <w:compat/>
  <w:rsids>
    <w:rsidRoot w:val="009A38D2"/>
    <w:rsid w:val="00196C41"/>
    <w:rsid w:val="009A38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Tahoma" w:hAnsi="Tahoma" w:cs="Tahoma"/>
      <w:b/>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jc w:val="right"/>
    </w:pPr>
    <w:rPr>
      <w:rFonts w:ascii="Garamond" w:hAnsi="Garamond"/>
      <w:b/>
      <w:bCs/>
      <w:i/>
      <w:iCs/>
      <w:sz w:val="32"/>
    </w:rPr>
  </w:style>
  <w:style w:type="paragraph" w:styleId="Caption">
    <w:name w:val="caption"/>
    <w:basedOn w:val="Normal"/>
    <w:next w:val="Normal"/>
    <w:qFormat/>
    <w:pPr>
      <w:jc w:val="center"/>
    </w:pPr>
    <w:rPr>
      <w:rFonts w:ascii="Tahoma" w:hAnsi="Tahoma" w:cs="Tahoma"/>
      <w:b/>
      <w:sz w:val="22"/>
      <w:szCs w:val="22"/>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DocumentMap">
    <w:name w:val="Document Map"/>
    <w:basedOn w:val="Normal"/>
    <w:semiHidden/>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966</Words>
  <Characters>5160</Characters>
  <Application>Microsoft Office Word</Application>
  <DocSecurity>0</DocSecurity>
  <Lines>80</Lines>
  <Paragraphs>13</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6113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2009-10-06T19:21:00Z</cp:lastPrinted>
  <dcterms:created xsi:type="dcterms:W3CDTF">2011-07-08T15:59:00Z</dcterms:created>
  <dcterms:modified xsi:type="dcterms:W3CDTF">2011-07-08T15:59:00Z</dcterms:modified>
</cp:coreProperties>
</file>